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14756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157CA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F1392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763F6308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57CA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F1392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392525DC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157CA3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F1392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157CA3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F1392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75650A8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aquisição de itens para a melhoria do sistema de </w:t>
      </w:r>
      <w:proofErr w:type="spellStart"/>
      <w:r w:rsidR="00F13922">
        <w:rPr>
          <w:rFonts w:ascii="Arial" w:hAnsi="Arial" w:cs="Arial"/>
          <w:color w:val="000000"/>
          <w:sz w:val="24"/>
          <w:szCs w:val="24"/>
        </w:rPr>
        <w:t>wifi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CB99B52" w14:textId="77777777" w:rsidR="00F13922" w:rsidRDefault="00F13922" w:rsidP="00F13922">
      <w:pPr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Pretende-se que esta Câmara Municipal promover a aquisição de itens, para a melhoria do sistema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wifi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conforme termo de referência.</w:t>
      </w:r>
      <w:r w:rsidRPr="00F452B8">
        <w:rPr>
          <w:rFonts w:ascii="Bookman Old Style" w:hAnsi="Bookman Old Style" w:cs="Tahoma"/>
          <w:b/>
          <w:sz w:val="40"/>
          <w:szCs w:val="40"/>
        </w:rPr>
        <w:t xml:space="preserve"> </w:t>
      </w:r>
    </w:p>
    <w:p w14:paraId="7788A26E" w14:textId="77777777" w:rsidR="00F13922" w:rsidRDefault="00F13922" w:rsidP="00F13922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Termo de Referência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7"/>
        <w:gridCol w:w="992"/>
        <w:gridCol w:w="5117"/>
        <w:gridCol w:w="2271"/>
      </w:tblGrid>
      <w:tr w:rsidR="00F13922" w14:paraId="7E123602" w14:textId="77777777" w:rsidTr="00F6690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49B9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3078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QUANT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6BDE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DESCRIÇÃO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2A7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VALOR</w:t>
            </w:r>
          </w:p>
        </w:tc>
      </w:tr>
      <w:tr w:rsidR="00F13922" w14:paraId="4C308960" w14:textId="77777777" w:rsidTr="00F6690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E6A9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A5A8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E3B8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PONTO DE ACESSO WIFI, DUAL BAND, MIMO, LONGO ALCANÇE, COMPATIVEL COM POE, COM VELOCIDADE DE ATE 1317 MPBS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BA78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</w:p>
        </w:tc>
      </w:tr>
      <w:tr w:rsidR="00F13922" w14:paraId="68147350" w14:textId="77777777" w:rsidTr="00F6690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0468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167F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02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4C5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ADAPTADOR POE + 30 W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338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</w:p>
        </w:tc>
      </w:tr>
      <w:tr w:rsidR="00F13922" w14:paraId="44A2DDB2" w14:textId="77777777" w:rsidTr="00F6690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833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B32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70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41F1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  <w:t>CABO LAN CAT.6 24AWGX4P (METRO)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A027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</w:pPr>
          </w:p>
        </w:tc>
      </w:tr>
      <w:tr w:rsidR="00F13922" w14:paraId="57FE9E43" w14:textId="77777777" w:rsidTr="00F6690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D439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7163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04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C546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CONECTOR MACHO PLUG RJ45 CAT5E CRIMP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DE5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</w:p>
        </w:tc>
      </w:tr>
    </w:tbl>
    <w:p w14:paraId="74E6FB5A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FC3679C" w14:textId="77777777" w:rsidR="00F13922" w:rsidRDefault="00F13922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8E1B9D" w14:textId="77777777" w:rsidR="00F13922" w:rsidRDefault="00F13922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A56633B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em 15 dias, com garantia de qualidade, conforme termo de referencia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C38641A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da entrega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777777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E87564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BB9D0F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F20B8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BF3828" w14:textId="07850A8A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343C3E01" w14:textId="77777777" w:rsidR="00F13922" w:rsidRDefault="00F13922" w:rsidP="00F13922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Termo de Referência</w:t>
      </w: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7"/>
        <w:gridCol w:w="992"/>
        <w:gridCol w:w="5117"/>
        <w:gridCol w:w="2271"/>
      </w:tblGrid>
      <w:tr w:rsidR="00F13922" w14:paraId="2622EFCB" w14:textId="77777777" w:rsidTr="00F6690F">
        <w:trPr>
          <w:jc w:val="center"/>
        </w:trPr>
        <w:tc>
          <w:tcPr>
            <w:tcW w:w="704" w:type="dxa"/>
            <w:vAlign w:val="center"/>
          </w:tcPr>
          <w:p w14:paraId="0623878E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ITEM</w:t>
            </w:r>
          </w:p>
        </w:tc>
        <w:tc>
          <w:tcPr>
            <w:tcW w:w="992" w:type="dxa"/>
            <w:vAlign w:val="center"/>
          </w:tcPr>
          <w:p w14:paraId="1C14083D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QUANT</w:t>
            </w:r>
          </w:p>
        </w:tc>
        <w:tc>
          <w:tcPr>
            <w:tcW w:w="5141" w:type="dxa"/>
            <w:vAlign w:val="center"/>
          </w:tcPr>
          <w:p w14:paraId="478CC1BC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DESCRIÇÃO</w:t>
            </w:r>
          </w:p>
        </w:tc>
        <w:tc>
          <w:tcPr>
            <w:tcW w:w="2280" w:type="dxa"/>
            <w:vAlign w:val="center"/>
          </w:tcPr>
          <w:p w14:paraId="7DF11E43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VALOR</w:t>
            </w:r>
          </w:p>
        </w:tc>
      </w:tr>
      <w:tr w:rsidR="00F13922" w14:paraId="5079D3F0" w14:textId="77777777" w:rsidTr="00F6690F">
        <w:trPr>
          <w:jc w:val="center"/>
        </w:trPr>
        <w:tc>
          <w:tcPr>
            <w:tcW w:w="704" w:type="dxa"/>
            <w:vAlign w:val="center"/>
          </w:tcPr>
          <w:p w14:paraId="2556178A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2D1C5F9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02</w:t>
            </w:r>
          </w:p>
        </w:tc>
        <w:tc>
          <w:tcPr>
            <w:tcW w:w="5141" w:type="dxa"/>
            <w:vAlign w:val="center"/>
          </w:tcPr>
          <w:p w14:paraId="74A4CE2D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PONTO DE ACESSO WIFI, DUAL BAND, MIMO, LONGO ALCANÇE, COMPATIVEL COM POE, COM VELOCIDADE DE ATE 1317 MPBS</w:t>
            </w:r>
          </w:p>
        </w:tc>
        <w:tc>
          <w:tcPr>
            <w:tcW w:w="2280" w:type="dxa"/>
            <w:vAlign w:val="center"/>
          </w:tcPr>
          <w:p w14:paraId="718683C3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</w:p>
        </w:tc>
      </w:tr>
      <w:tr w:rsidR="00F13922" w14:paraId="1D56E57A" w14:textId="77777777" w:rsidTr="00F6690F">
        <w:trPr>
          <w:jc w:val="center"/>
        </w:trPr>
        <w:tc>
          <w:tcPr>
            <w:tcW w:w="704" w:type="dxa"/>
            <w:vAlign w:val="center"/>
          </w:tcPr>
          <w:p w14:paraId="6CC48104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99666B2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02</w:t>
            </w:r>
          </w:p>
        </w:tc>
        <w:tc>
          <w:tcPr>
            <w:tcW w:w="5141" w:type="dxa"/>
            <w:vAlign w:val="center"/>
          </w:tcPr>
          <w:p w14:paraId="29EE9867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ADAPTADOR POE + 30 W</w:t>
            </w:r>
          </w:p>
        </w:tc>
        <w:tc>
          <w:tcPr>
            <w:tcW w:w="2280" w:type="dxa"/>
            <w:vAlign w:val="center"/>
          </w:tcPr>
          <w:p w14:paraId="415963CF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</w:p>
        </w:tc>
      </w:tr>
      <w:tr w:rsidR="00F13922" w:rsidRPr="005277CA" w14:paraId="13054AFE" w14:textId="77777777" w:rsidTr="00F6690F">
        <w:trPr>
          <w:jc w:val="center"/>
        </w:trPr>
        <w:tc>
          <w:tcPr>
            <w:tcW w:w="704" w:type="dxa"/>
            <w:vAlign w:val="center"/>
          </w:tcPr>
          <w:p w14:paraId="29AE34AA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1B273234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70</w:t>
            </w:r>
          </w:p>
        </w:tc>
        <w:tc>
          <w:tcPr>
            <w:tcW w:w="5141" w:type="dxa"/>
            <w:vAlign w:val="center"/>
          </w:tcPr>
          <w:p w14:paraId="49BDC391" w14:textId="77777777" w:rsidR="00F13922" w:rsidRPr="005277CA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</w:pPr>
            <w:r w:rsidRPr="005277CA"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  <w:t>CABO LAN CAT.6 24AWGX4P (M</w:t>
            </w:r>
            <w:r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  <w:t>ETRO)</w:t>
            </w:r>
          </w:p>
        </w:tc>
        <w:tc>
          <w:tcPr>
            <w:tcW w:w="2280" w:type="dxa"/>
            <w:vAlign w:val="center"/>
          </w:tcPr>
          <w:p w14:paraId="100460E1" w14:textId="77777777" w:rsidR="00F13922" w:rsidRPr="005277CA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  <w:lang w:val="en-US"/>
              </w:rPr>
            </w:pPr>
          </w:p>
        </w:tc>
      </w:tr>
      <w:tr w:rsidR="00F13922" w14:paraId="19AE3235" w14:textId="77777777" w:rsidTr="00F6690F">
        <w:trPr>
          <w:jc w:val="center"/>
        </w:trPr>
        <w:tc>
          <w:tcPr>
            <w:tcW w:w="704" w:type="dxa"/>
            <w:vAlign w:val="center"/>
          </w:tcPr>
          <w:p w14:paraId="4D1AAF0A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04</w:t>
            </w:r>
          </w:p>
        </w:tc>
        <w:tc>
          <w:tcPr>
            <w:tcW w:w="992" w:type="dxa"/>
            <w:vAlign w:val="center"/>
          </w:tcPr>
          <w:p w14:paraId="13B9F863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04</w:t>
            </w:r>
          </w:p>
        </w:tc>
        <w:tc>
          <w:tcPr>
            <w:tcW w:w="5141" w:type="dxa"/>
            <w:vAlign w:val="center"/>
          </w:tcPr>
          <w:p w14:paraId="607ABB10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</w:rPr>
              <w:t>CONECTOR MACHO PLUG RJ45 CAT5E CRIMP</w:t>
            </w:r>
          </w:p>
        </w:tc>
        <w:tc>
          <w:tcPr>
            <w:tcW w:w="2280" w:type="dxa"/>
            <w:vAlign w:val="center"/>
          </w:tcPr>
          <w:p w14:paraId="5F67517E" w14:textId="77777777" w:rsidR="00F13922" w:rsidRDefault="00F13922" w:rsidP="00F6690F">
            <w:pPr>
              <w:pStyle w:val="Recuodecorpodetexto31"/>
              <w:ind w:firstLine="0"/>
              <w:rPr>
                <w:rFonts w:ascii="Bookman Old Style" w:eastAsia="Bookman Old Style" w:hAnsi="Bookman Old Style" w:cs="Bookman Old Style"/>
                <w:b w:val="0"/>
                <w:sz w:val="20"/>
              </w:rPr>
            </w:pPr>
          </w:p>
        </w:tc>
      </w:tr>
    </w:tbl>
    <w:p w14:paraId="4AC8D027" w14:textId="77777777" w:rsidR="00F13922" w:rsidRDefault="00F13922" w:rsidP="00F13922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14E64B27" w14:textId="77777777" w:rsidR="00F13922" w:rsidRDefault="00F13922" w:rsidP="00F13922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61DDC89E" w14:textId="77777777" w:rsidR="00F13922" w:rsidRDefault="00F13922" w:rsidP="00F13922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1466511C" w14:textId="25806283" w:rsidR="00F13922" w:rsidRDefault="00F13922" w:rsidP="00F13922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dos produtos no endereço da Câmara, fo</w:t>
      </w:r>
      <w:r>
        <w:rPr>
          <w:rFonts w:ascii="Bookman Old Style" w:hAnsi="Bookman Old Style" w:cs="Bookman Old Style"/>
          <w:b w:val="0"/>
          <w:sz w:val="20"/>
        </w:rPr>
        <w:t>r</w:t>
      </w:r>
      <w:r>
        <w:rPr>
          <w:rFonts w:ascii="Bookman Old Style" w:hAnsi="Bookman Old Style" w:cs="Bookman Old Style"/>
          <w:b w:val="0"/>
          <w:sz w:val="20"/>
        </w:rPr>
        <w:t>necendo garantia de qualidade dos produtos.</w:t>
      </w:r>
    </w:p>
    <w:p w14:paraId="34424E61" w14:textId="77777777" w:rsidR="00F13922" w:rsidRDefault="00F13922" w:rsidP="00F13922">
      <w:pPr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6EC5A358" w14:textId="77777777" w:rsidR="00F13922" w:rsidRDefault="00F13922" w:rsidP="00F13922">
      <w:pPr>
        <w:ind w:firstLine="708"/>
        <w:jc w:val="both"/>
        <w:rPr>
          <w:rFonts w:cs="Times New Roman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2F186B71" w14:textId="77777777" w:rsidR="00F13922" w:rsidRDefault="00F13922" w:rsidP="00F13922">
      <w:pPr>
        <w:jc w:val="both"/>
      </w:pPr>
      <w:r>
        <w:rPr>
          <w:rFonts w:ascii="Bookman Old Style" w:hAnsi="Bookman Old Style" w:cs="Bookman Old Style"/>
          <w:sz w:val="20"/>
          <w:szCs w:val="20"/>
        </w:rPr>
        <w:tab/>
        <w:t>1.3. Seguir programação da Câmara, quanto à data e horário da entrega.</w:t>
      </w:r>
    </w:p>
    <w:p w14:paraId="56DEAD49" w14:textId="77777777" w:rsidR="00F13922" w:rsidRDefault="00F13922" w:rsidP="00F13922">
      <w:pPr>
        <w:keepLines/>
        <w:ind w:firstLine="708"/>
        <w:jc w:val="both"/>
        <w:rPr>
          <w:rFonts w:ascii="Bookman Old Style" w:hAnsi="Bookman Old Style" w:cs="Bookman Old Style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sz w:val="20"/>
          <w:szCs w:val="20"/>
        </w:rPr>
        <w:t xml:space="preserve">1.4. </w:t>
      </w:r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>A equipe deverá estar devidamente uniformizada, sendo de responsabilidade da contratada o fornecimento de todos os equipamentos de segurança exigidos.</w:t>
      </w:r>
    </w:p>
    <w:p w14:paraId="37AA9E30" w14:textId="77777777" w:rsidR="00F13922" w:rsidRDefault="00F13922" w:rsidP="00F13922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1.5.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27837B05" w14:textId="77777777" w:rsidR="00F13922" w:rsidRDefault="00F13922" w:rsidP="00F13922">
      <w:pPr>
        <w:keepLines/>
        <w:ind w:firstLine="708"/>
        <w:jc w:val="both"/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  <w:t>1.6. O pagamento será feito em até 15 (quinze) dias após a realização do serviço.</w:t>
      </w:r>
    </w:p>
    <w:p w14:paraId="7A1331A6" w14:textId="77777777" w:rsidR="00F13922" w:rsidRDefault="00F13922" w:rsidP="00F13922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4D64AE68" w14:textId="77777777" w:rsidR="00F13922" w:rsidRDefault="00F13922" w:rsidP="00F13922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A83A46C" w14:textId="77777777" w:rsidR="00F13922" w:rsidRDefault="00F13922" w:rsidP="00F13922">
      <w:pPr>
        <w:jc w:val="center"/>
        <w:outlineLvl w:val="0"/>
        <w:rPr>
          <w:rFonts w:cs="Times New Roman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17479881" w14:textId="77777777" w:rsidR="00F13922" w:rsidRPr="004D037E" w:rsidRDefault="00F13922" w:rsidP="00F13922"/>
    <w:p w14:paraId="7E0B4512" w14:textId="1C8BA4C1" w:rsidR="00C20EA8" w:rsidRPr="00B729DE" w:rsidRDefault="00C20EA8" w:rsidP="00F13922">
      <w:pPr>
        <w:jc w:val="center"/>
        <w:outlineLvl w:val="0"/>
      </w:pPr>
    </w:p>
    <w:sectPr w:rsidR="00C20EA8" w:rsidRPr="00B729DE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72920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66ABF"/>
    <w:rsid w:val="00CC37D3"/>
    <w:rsid w:val="00DE2D8A"/>
    <w:rsid w:val="00F03634"/>
    <w:rsid w:val="00F13922"/>
    <w:rsid w:val="00F70563"/>
    <w:rsid w:val="00F874B9"/>
    <w:rsid w:val="00FC3DAA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2025-01-15T15:27:00Z</cp:lastPrinted>
  <dcterms:created xsi:type="dcterms:W3CDTF">2025-01-15T15:28:00Z</dcterms:created>
  <dcterms:modified xsi:type="dcterms:W3CDTF">2025-01-15T15:28:00Z</dcterms:modified>
  <dc:language>pt-BR</dc:language>
</cp:coreProperties>
</file>