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4EFB14F3" w:rsidR="00B729DE" w:rsidRDefault="00157CA3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 </w:t>
      </w:r>
      <w:r w:rsidR="00B729D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08</w:t>
      </w:r>
      <w:r w:rsidR="00B729D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/2025</w:t>
      </w:r>
    </w:p>
    <w:p w14:paraId="6BDBA2C5" w14:textId="28F8E5D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157CA3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04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/2025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307FB0BF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157CA3">
        <w:rPr>
          <w:rFonts w:ascii="Arial" w:hAnsi="Arial" w:cs="Arial"/>
          <w:color w:val="000000"/>
          <w:sz w:val="24"/>
          <w:szCs w:val="24"/>
        </w:rPr>
        <w:t>15</w:t>
      </w:r>
      <w:r>
        <w:rPr>
          <w:rFonts w:ascii="Arial" w:hAnsi="Arial" w:cs="Arial"/>
          <w:color w:val="000000"/>
          <w:sz w:val="24"/>
          <w:szCs w:val="24"/>
        </w:rPr>
        <w:t xml:space="preserve"> de janeiro de 2025 as </w:t>
      </w:r>
      <w:r w:rsidR="00157CA3">
        <w:rPr>
          <w:rFonts w:ascii="Arial" w:hAnsi="Arial" w:cs="Arial"/>
          <w:color w:val="000000"/>
          <w:sz w:val="24"/>
          <w:szCs w:val="24"/>
        </w:rPr>
        <w:t>12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157CA3"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z w:val="24"/>
          <w:szCs w:val="24"/>
        </w:rPr>
        <w:t xml:space="preserve"> de janeiro de 202</w:t>
      </w:r>
      <w:r w:rsidR="00157CA3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157CA3">
        <w:rPr>
          <w:rFonts w:ascii="Arial" w:hAnsi="Arial" w:cs="Arial"/>
          <w:color w:val="000000"/>
          <w:sz w:val="24"/>
          <w:szCs w:val="24"/>
        </w:rPr>
        <w:t>12</w:t>
      </w:r>
      <w:r>
        <w:rPr>
          <w:rFonts w:ascii="Arial" w:hAnsi="Arial" w:cs="Arial"/>
          <w:color w:val="000000"/>
          <w:sz w:val="24"/>
          <w:szCs w:val="24"/>
        </w:rPr>
        <w:t xml:space="preserve">:00 horas. Maiores informações e apresentação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2956FCA4" w14:textId="4DA60259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Centro, Charqueada/SP, faz saber que se encontra aberto processo administrativo para contratação de empresa para </w:t>
      </w:r>
      <w:r w:rsidR="00157CA3">
        <w:rPr>
          <w:rFonts w:ascii="Arial" w:hAnsi="Arial" w:cs="Arial"/>
          <w:color w:val="000000"/>
          <w:sz w:val="24"/>
          <w:szCs w:val="24"/>
        </w:rPr>
        <w:t>limpeza veicular</w:t>
      </w:r>
      <w:r>
        <w:rPr>
          <w:rFonts w:ascii="Arial" w:hAnsi="Arial" w:cs="Arial"/>
          <w:color w:val="000000"/>
          <w:sz w:val="24"/>
          <w:szCs w:val="24"/>
        </w:rPr>
        <w:t>, conforme descrito no objeto, por Dispensa de Licitação, nos termos do art. 75, inciso II, da lei 14.133/2021.</w:t>
      </w:r>
    </w:p>
    <w:p w14:paraId="0926EA36" w14:textId="77777777" w:rsidR="00B729DE" w:rsidRPr="00B729DE" w:rsidRDefault="00B729DE" w:rsidP="00B729DE">
      <w:pPr>
        <w:ind w:left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34F3C9CC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4A257507" w14:textId="77777777" w:rsidR="00157CA3" w:rsidRDefault="00157CA3" w:rsidP="00157CA3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Pretende-se que esta Câmara Municipal promover a contratação de serviço de limpeza veicular, para os dois veículos oficiais, para uso conforme necessidade, prevendo o uso de pelo menos duas lavagens mensais para cada veículo.</w:t>
      </w:r>
    </w:p>
    <w:tbl>
      <w:tblPr>
        <w:tblW w:w="76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5323"/>
        <w:gridCol w:w="1594"/>
      </w:tblGrid>
      <w:tr w:rsidR="00157CA3" w14:paraId="2F92A4C1" w14:textId="77777777" w:rsidTr="00AD78E2">
        <w:trPr>
          <w:trHeight w:val="285"/>
          <w:jc w:val="center"/>
        </w:trPr>
        <w:tc>
          <w:tcPr>
            <w:tcW w:w="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1A07630A" w14:textId="77777777" w:rsidR="00157CA3" w:rsidRDefault="00157CA3" w:rsidP="00AD78E2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5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bottom"/>
            <w:hideMark/>
          </w:tcPr>
          <w:p w14:paraId="286F33C7" w14:textId="77777777" w:rsidR="00157CA3" w:rsidRDefault="00157CA3" w:rsidP="00AD78E2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4D221529" w14:textId="77777777" w:rsidR="00157CA3" w:rsidRDefault="00157CA3" w:rsidP="00AD78E2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</w:tc>
      </w:tr>
      <w:tr w:rsidR="00157CA3" w14:paraId="26E5B8E8" w14:textId="77777777" w:rsidTr="00AD78E2">
        <w:trPr>
          <w:trHeight w:val="225"/>
          <w:jc w:val="center"/>
        </w:trPr>
        <w:tc>
          <w:tcPr>
            <w:tcW w:w="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7C7584E" w14:textId="77777777" w:rsidR="00157CA3" w:rsidRDefault="00157CA3" w:rsidP="00AD78E2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01</w:t>
            </w:r>
          </w:p>
        </w:tc>
        <w:tc>
          <w:tcPr>
            <w:tcW w:w="5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5937A29" w14:textId="77777777" w:rsidR="00157CA3" w:rsidRDefault="00157CA3" w:rsidP="00AD78E2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LIMPEZA VEICULAR SIMPLES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C237DC" w14:textId="77777777" w:rsidR="00157CA3" w:rsidRDefault="00157CA3" w:rsidP="00AD78E2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</w:p>
        </w:tc>
      </w:tr>
      <w:tr w:rsidR="00157CA3" w14:paraId="3CB3FE30" w14:textId="77777777" w:rsidTr="00AD78E2">
        <w:trPr>
          <w:trHeight w:val="225"/>
          <w:jc w:val="center"/>
        </w:trPr>
        <w:tc>
          <w:tcPr>
            <w:tcW w:w="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5F368C8" w14:textId="77777777" w:rsidR="00157CA3" w:rsidRDefault="00157CA3" w:rsidP="00AD78E2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02</w:t>
            </w:r>
          </w:p>
        </w:tc>
        <w:tc>
          <w:tcPr>
            <w:tcW w:w="5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607ABF3" w14:textId="77777777" w:rsidR="00157CA3" w:rsidRDefault="00157CA3" w:rsidP="00AD78E2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LIMPEZA VEICULAR COMPLETA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5C8DAE" w14:textId="77777777" w:rsidR="00157CA3" w:rsidRDefault="00157CA3" w:rsidP="00AD78E2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</w:p>
        </w:tc>
      </w:tr>
    </w:tbl>
    <w:p w14:paraId="602B5732" w14:textId="77777777" w:rsidR="00157CA3" w:rsidRDefault="00157CA3" w:rsidP="00157CA3">
      <w:pPr>
        <w:jc w:val="center"/>
        <w:outlineLvl w:val="0"/>
        <w:rPr>
          <w:rFonts w:ascii="Bookman Old Style" w:hAnsi="Bookman Old Style" w:cs="Tahoma"/>
          <w:sz w:val="24"/>
          <w:szCs w:val="24"/>
          <w:lang w:eastAsia="en-US"/>
        </w:rPr>
      </w:pPr>
    </w:p>
    <w:p w14:paraId="79BCF83F" w14:textId="77777777" w:rsidR="00157CA3" w:rsidRDefault="00157CA3" w:rsidP="00157CA3">
      <w:pPr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COTAÇÃO DE SERVIÇOS PARA 02 VEICULOS SEDAN DE PORTE MEDIO SENDO, UM ASTRA E UM COROLA.</w:t>
      </w:r>
    </w:p>
    <w:p w14:paraId="618C75FB" w14:textId="77777777" w:rsidR="00157CA3" w:rsidRDefault="00157CA3" w:rsidP="00157CA3">
      <w:pPr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 xml:space="preserve">A LIMPEZA SIMPLES DEVE INCLUIR SERVIÇO DE ASPIRADOR DE TODO O INTERIOR DO VEICULO, LIMPEZA DAS PARTES PLASTICAS COM PRODUTO ESPECIFICO, LAVAGEM DA PARTE EXTERNA, APLICAÇÃO DE </w:t>
      </w:r>
      <w:r>
        <w:rPr>
          <w:rFonts w:ascii="Bookman Old Style" w:hAnsi="Bookman Old Style" w:cs="Tahoma"/>
          <w:sz w:val="24"/>
          <w:szCs w:val="24"/>
        </w:rPr>
        <w:lastRenderedPageBreak/>
        <w:t>CERA NA PARTE EXTERNA METALICA E PRODUTO PARA PROTEÇÃO DOS PNEUS.</w:t>
      </w:r>
    </w:p>
    <w:p w14:paraId="64970A01" w14:textId="77777777" w:rsidR="00157CA3" w:rsidRDefault="00157CA3" w:rsidP="00157CA3">
      <w:pPr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A LIMPEZA COMPLETA DEVE INCLUIR, ALEM DE TODOS OS SERVIÇOS DA SIMPLES, LIMPEZA DE MOTOR E DE CHASSIS</w:t>
      </w:r>
    </w:p>
    <w:p w14:paraId="74E6FB5A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C45A8D3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29DF0C4B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 serviço deverá ser </w:t>
      </w:r>
      <w:r w:rsidR="00157CA3">
        <w:rPr>
          <w:rFonts w:ascii="Arial" w:hAnsi="Arial" w:cs="Arial"/>
          <w:color w:val="000000"/>
          <w:sz w:val="24"/>
          <w:szCs w:val="24"/>
        </w:rPr>
        <w:t>realizado conforme necessidade</w:t>
      </w:r>
      <w:r>
        <w:rPr>
          <w:rFonts w:ascii="Arial" w:hAnsi="Arial" w:cs="Arial"/>
          <w:color w:val="000000"/>
          <w:sz w:val="24"/>
          <w:szCs w:val="24"/>
        </w:rPr>
        <w:t xml:space="preserve">, ser cancelado em caso de não atendimento </w:t>
      </w:r>
      <w:r w:rsidR="00157CA3">
        <w:rPr>
          <w:rFonts w:ascii="Arial" w:hAnsi="Arial" w:cs="Arial"/>
          <w:color w:val="000000"/>
          <w:sz w:val="24"/>
          <w:szCs w:val="24"/>
        </w:rPr>
        <w:t>das solicitações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8. DO PAGAMENTO</w:t>
      </w:r>
    </w:p>
    <w:p w14:paraId="12754C4F" w14:textId="4308C3FD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Após o término </w:t>
      </w:r>
      <w:r w:rsidR="00157CA3">
        <w:rPr>
          <w:rFonts w:ascii="Arial" w:hAnsi="Arial" w:cs="Arial"/>
          <w:color w:val="000000"/>
          <w:sz w:val="24"/>
          <w:szCs w:val="24"/>
        </w:rPr>
        <w:t>de cada</w:t>
      </w:r>
      <w:r>
        <w:rPr>
          <w:rFonts w:ascii="Arial" w:hAnsi="Arial" w:cs="Arial"/>
          <w:color w:val="000000"/>
          <w:sz w:val="24"/>
          <w:szCs w:val="24"/>
        </w:rPr>
        <w:t xml:space="preserve"> serviço, o vencedor apresentará nota fiscal,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56D431DF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65B0FD36" w14:textId="77777777" w:rsidR="00B729DE" w:rsidRDefault="00B729DE" w:rsidP="00B729DE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1CBF3828" w14:textId="77777777" w:rsidR="00B729DE" w:rsidRDefault="00B729DE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ANEXO I</w:t>
      </w:r>
    </w:p>
    <w:p w14:paraId="0570C2A0" w14:textId="77777777" w:rsidR="00157CA3" w:rsidRDefault="00157CA3" w:rsidP="00157CA3">
      <w:pPr>
        <w:jc w:val="center"/>
        <w:outlineLvl w:val="0"/>
        <w:rPr>
          <w:sz w:val="40"/>
          <w:szCs w:val="40"/>
        </w:rPr>
      </w:pPr>
      <w:r>
        <w:rPr>
          <w:rFonts w:ascii="Bookman Old Style" w:hAnsi="Bookman Old Style" w:cs="Tahoma"/>
          <w:b/>
          <w:sz w:val="40"/>
          <w:szCs w:val="40"/>
        </w:rPr>
        <w:t>Termo de Referência</w:t>
      </w:r>
    </w:p>
    <w:tbl>
      <w:tblPr>
        <w:tblW w:w="76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5323"/>
        <w:gridCol w:w="1594"/>
      </w:tblGrid>
      <w:tr w:rsidR="00157CA3" w14:paraId="5532D822" w14:textId="77777777" w:rsidTr="00AD78E2">
        <w:trPr>
          <w:trHeight w:val="285"/>
          <w:jc w:val="center"/>
        </w:trPr>
        <w:tc>
          <w:tcPr>
            <w:tcW w:w="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1E735D6" w14:textId="77777777" w:rsidR="00157CA3" w:rsidRDefault="00157CA3" w:rsidP="00AD78E2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5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2E09380C" w14:textId="77777777" w:rsidR="00157CA3" w:rsidRDefault="00157CA3" w:rsidP="00AD78E2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32B7EE04" w14:textId="77777777" w:rsidR="00157CA3" w:rsidRDefault="00157CA3" w:rsidP="00AD78E2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</w:tc>
      </w:tr>
      <w:tr w:rsidR="00157CA3" w14:paraId="13C14A6E" w14:textId="77777777" w:rsidTr="00AD78E2">
        <w:trPr>
          <w:trHeight w:val="225"/>
          <w:jc w:val="center"/>
        </w:trPr>
        <w:tc>
          <w:tcPr>
            <w:tcW w:w="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9A7189" w14:textId="77777777" w:rsidR="00157CA3" w:rsidRDefault="00157CA3" w:rsidP="00AD78E2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01</w:t>
            </w:r>
          </w:p>
        </w:tc>
        <w:tc>
          <w:tcPr>
            <w:tcW w:w="5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2025ECD" w14:textId="77777777" w:rsidR="00157CA3" w:rsidRDefault="00157CA3" w:rsidP="00AD78E2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LIMPEZA VEICULAR SIMPLES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FBA3A2" w14:textId="77777777" w:rsidR="00157CA3" w:rsidRDefault="00157CA3" w:rsidP="00AD78E2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</w:p>
        </w:tc>
      </w:tr>
      <w:tr w:rsidR="00157CA3" w14:paraId="5CE034E3" w14:textId="77777777" w:rsidTr="00AD78E2">
        <w:trPr>
          <w:trHeight w:val="225"/>
          <w:jc w:val="center"/>
        </w:trPr>
        <w:tc>
          <w:tcPr>
            <w:tcW w:w="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5129DC" w14:textId="77777777" w:rsidR="00157CA3" w:rsidRDefault="00157CA3" w:rsidP="00AD78E2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02</w:t>
            </w:r>
          </w:p>
        </w:tc>
        <w:tc>
          <w:tcPr>
            <w:tcW w:w="5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9BFDD33" w14:textId="77777777" w:rsidR="00157CA3" w:rsidRDefault="00157CA3" w:rsidP="00AD78E2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LIMPEZA VEICULAR COMPLETA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95C62C" w14:textId="77777777" w:rsidR="00157CA3" w:rsidRDefault="00157CA3" w:rsidP="00AD78E2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</w:p>
        </w:tc>
      </w:tr>
    </w:tbl>
    <w:p w14:paraId="2059DD6E" w14:textId="77777777" w:rsidR="00157CA3" w:rsidRDefault="00157CA3" w:rsidP="00157CA3">
      <w:pPr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COTAÇÃO DE SERVIÇOS PARA 02 VEICULOS SEDAN DE PORTE MEDIO SENDO, UM ASTRA E UM COROLA.</w:t>
      </w:r>
    </w:p>
    <w:p w14:paraId="32908D31" w14:textId="77777777" w:rsidR="00157CA3" w:rsidRDefault="00157CA3" w:rsidP="00157CA3">
      <w:pPr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A LIMPEZA SIMPLES DEVE INCLUIR SERVIÇO DE ASPIRADOR DE TODO O INTERIOR DO VEICULO, LIMPEZA DAS PARTES PLASTICAS COM PRODUTO ESPECIFICO, LAVAGEM DA PARTE EXTERNA, APLICAÇÃO DE CERA NA PARTE EXTERNA METALICA E PRODUTO PARA PROTEÇÃO DOS PNEUS.</w:t>
      </w:r>
    </w:p>
    <w:p w14:paraId="6E856E89" w14:textId="77777777" w:rsidR="00157CA3" w:rsidRDefault="00157CA3" w:rsidP="00157CA3">
      <w:pPr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A LIMPEZA COMPLETA DEVE INCLUIR, ALEM DE TODOS OS SERVIÇOS DA SIMPLES, LIMPEZA DE MOTOR E DE CHASSIS</w:t>
      </w:r>
    </w:p>
    <w:p w14:paraId="0FEE6087" w14:textId="77777777" w:rsidR="00157CA3" w:rsidRDefault="00157CA3" w:rsidP="00157CA3">
      <w:pPr>
        <w:pStyle w:val="Recuodecorpodetexto31"/>
        <w:ind w:firstLine="0"/>
      </w:pPr>
      <w:r>
        <w:rPr>
          <w:rFonts w:ascii="Bookman Old Style" w:eastAsia="Bookman Old Style" w:hAnsi="Bookman Old Style" w:cs="Bookman Old Style"/>
          <w:b w:val="0"/>
          <w:sz w:val="20"/>
        </w:rPr>
        <w:t xml:space="preserve">           </w:t>
      </w:r>
      <w:r>
        <w:rPr>
          <w:rFonts w:ascii="Bookman Old Style" w:hAnsi="Bookman Old Style" w:cs="Bookman Old Style"/>
          <w:b w:val="0"/>
          <w:sz w:val="20"/>
        </w:rPr>
        <w:t>1.1. A empresa vencedora será responsável pela realização do serviço conforme necessidade.</w:t>
      </w:r>
    </w:p>
    <w:p w14:paraId="46F9DE1B" w14:textId="77777777" w:rsidR="00157CA3" w:rsidRDefault="00157CA3" w:rsidP="00157CA3">
      <w:pPr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hAnsi="Bookman Old Style" w:cs="Bookman Old Style"/>
          <w:color w:val="000000"/>
          <w:sz w:val="20"/>
          <w:szCs w:val="20"/>
        </w:rPr>
        <w:tab/>
      </w:r>
    </w:p>
    <w:p w14:paraId="7ACA7B16" w14:textId="77777777" w:rsidR="00157CA3" w:rsidRDefault="00157CA3" w:rsidP="00157CA3">
      <w:pPr>
        <w:ind w:firstLine="708"/>
        <w:jc w:val="both"/>
        <w:rPr>
          <w:rFonts w:cs="Times New Roman"/>
        </w:rPr>
      </w:pPr>
      <w:r>
        <w:rPr>
          <w:rFonts w:ascii="Bookman Old Style" w:hAnsi="Bookman Old Style" w:cs="Bookman Old Style"/>
          <w:sz w:val="20"/>
          <w:szCs w:val="20"/>
        </w:rPr>
        <w:t xml:space="preserve">1.2. </w:t>
      </w:r>
      <w:r>
        <w:rPr>
          <w:rFonts w:ascii="Bookman Old Style" w:hAnsi="Bookman Old Style" w:cs="Bookman Old Style"/>
          <w:color w:val="000000"/>
          <w:sz w:val="20"/>
          <w:szCs w:val="20"/>
        </w:rPr>
        <w:t>A empresa vencedora deverá obedecer às seguintes exigências:</w:t>
      </w:r>
    </w:p>
    <w:p w14:paraId="44E0ED8F" w14:textId="77777777" w:rsidR="00157CA3" w:rsidRDefault="00157CA3" w:rsidP="00157CA3">
      <w:pPr>
        <w:jc w:val="both"/>
      </w:pPr>
      <w:r>
        <w:rPr>
          <w:rFonts w:ascii="Bookman Old Style" w:hAnsi="Bookman Old Style" w:cs="Bookman Old Style"/>
          <w:sz w:val="20"/>
          <w:szCs w:val="20"/>
        </w:rPr>
        <w:tab/>
        <w:t>1.3. Seguir programação da Câmara, quanto à data, horário, local, quantidade e tipo dos serviços a serem realizados.</w:t>
      </w:r>
    </w:p>
    <w:p w14:paraId="04065674" w14:textId="77777777" w:rsidR="00157CA3" w:rsidRDefault="00157CA3" w:rsidP="00157CA3">
      <w:pPr>
        <w:keepLines/>
        <w:ind w:firstLine="708"/>
        <w:jc w:val="both"/>
        <w:rPr>
          <w:rFonts w:ascii="Bookman Old Style" w:hAnsi="Bookman Old Style" w:cs="Bookman Old Style"/>
          <w:sz w:val="20"/>
          <w:szCs w:val="20"/>
          <w:shd w:val="clear" w:color="auto" w:fill="FFFFFF"/>
        </w:rPr>
      </w:pPr>
      <w:r>
        <w:rPr>
          <w:rFonts w:ascii="Bookman Old Style" w:hAnsi="Bookman Old Style" w:cs="Bookman Old Style"/>
          <w:sz w:val="20"/>
          <w:szCs w:val="20"/>
        </w:rPr>
        <w:t xml:space="preserve">1.4. </w:t>
      </w:r>
      <w:r>
        <w:rPr>
          <w:rFonts w:ascii="Bookman Old Style" w:hAnsi="Bookman Old Style" w:cs="Bookman Old Style"/>
          <w:sz w:val="20"/>
          <w:szCs w:val="20"/>
          <w:shd w:val="clear" w:color="auto" w:fill="FFFFFF"/>
        </w:rPr>
        <w:t>A equipe deverá estar devidamente uniformizada, sendo de responsabilidade da contratada o fornecimento de todos os equipamentos de segurança exigidos.</w:t>
      </w:r>
    </w:p>
    <w:p w14:paraId="022F48E8" w14:textId="77777777" w:rsidR="00157CA3" w:rsidRDefault="00157CA3" w:rsidP="00157CA3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  <w:shd w:val="clear" w:color="auto" w:fill="FFFFFF"/>
        </w:rPr>
        <w:t xml:space="preserve">1.5. A empresa contratada será responsável pela retirada e devolução do </w:t>
      </w:r>
      <w:proofErr w:type="spellStart"/>
      <w:r>
        <w:rPr>
          <w:rFonts w:ascii="Bookman Old Style" w:hAnsi="Bookman Old Style" w:cs="Bookman Old Style"/>
          <w:sz w:val="20"/>
          <w:szCs w:val="20"/>
          <w:shd w:val="clear" w:color="auto" w:fill="FFFFFF"/>
        </w:rPr>
        <w:t>veiculo</w:t>
      </w:r>
      <w:proofErr w:type="spellEnd"/>
      <w:r>
        <w:rPr>
          <w:rFonts w:ascii="Bookman Old Style" w:hAnsi="Bookman Old Style" w:cs="Bookman Old Style"/>
          <w:sz w:val="20"/>
          <w:szCs w:val="20"/>
          <w:shd w:val="clear" w:color="auto" w:fill="FFFFFF"/>
        </w:rPr>
        <w:t xml:space="preserve"> na Câmara</w:t>
      </w:r>
    </w:p>
    <w:p w14:paraId="6B0C9890" w14:textId="77777777" w:rsidR="00157CA3" w:rsidRDefault="00157CA3" w:rsidP="00157CA3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 xml:space="preserve">1.6. </w:t>
      </w:r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Ficam obrigadas a emitir nota fiscal eletrônica –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Nf-e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>.</w:t>
      </w:r>
    </w:p>
    <w:p w14:paraId="5D45B391" w14:textId="77777777" w:rsidR="00157CA3" w:rsidRDefault="00157CA3" w:rsidP="00157CA3">
      <w:pPr>
        <w:keepLines/>
        <w:ind w:firstLine="708"/>
        <w:jc w:val="both"/>
        <w:rPr>
          <w:rFonts w:ascii="Bookman Old Style" w:hAnsi="Bookman Old Style" w:cs="Bookman Old Style"/>
          <w:color w:val="000000"/>
          <w:sz w:val="20"/>
          <w:szCs w:val="20"/>
          <w:shd w:val="clear" w:color="auto" w:fill="FFFFFF"/>
        </w:rPr>
      </w:pPr>
      <w:r>
        <w:rPr>
          <w:rFonts w:ascii="Bookman Old Style" w:hAnsi="Bookman Old Style" w:cs="Bookman Old Style"/>
          <w:color w:val="000000"/>
          <w:sz w:val="20"/>
          <w:szCs w:val="20"/>
          <w:shd w:val="clear" w:color="auto" w:fill="FFFFFF"/>
        </w:rPr>
        <w:t>1.7. O pagamento será feito em até 15 (quinze) dias após a realização do serviço.</w:t>
      </w:r>
    </w:p>
    <w:p w14:paraId="560697C4" w14:textId="77777777" w:rsidR="00157CA3" w:rsidRDefault="00157CA3" w:rsidP="00157CA3">
      <w:pPr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Data _____/_____/_______</w:t>
      </w:r>
    </w:p>
    <w:p w14:paraId="55F92F17" w14:textId="77777777" w:rsidR="00157CA3" w:rsidRDefault="00157CA3" w:rsidP="00157CA3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7E0B4512" w14:textId="755CB36B" w:rsidR="00C20EA8" w:rsidRPr="00B729DE" w:rsidRDefault="00157CA3" w:rsidP="00157CA3">
      <w:pPr>
        <w:jc w:val="center"/>
        <w:outlineLvl w:val="0"/>
      </w:pPr>
      <w:r>
        <w:rPr>
          <w:rFonts w:ascii="Bookman Old Style" w:hAnsi="Bookman Old Style" w:cs="Bookman Old Style"/>
          <w:sz w:val="24"/>
          <w:szCs w:val="24"/>
        </w:rPr>
        <w:t>Assinatura do Responsável</w:t>
      </w:r>
    </w:p>
    <w:sectPr w:rsidR="00C20EA8" w:rsidRPr="00B729DE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153D28"/>
    <w:rsid w:val="00157CA3"/>
    <w:rsid w:val="001C61F0"/>
    <w:rsid w:val="002535B6"/>
    <w:rsid w:val="00317296"/>
    <w:rsid w:val="00337FDF"/>
    <w:rsid w:val="0034734C"/>
    <w:rsid w:val="00385FB7"/>
    <w:rsid w:val="003B7695"/>
    <w:rsid w:val="004D037E"/>
    <w:rsid w:val="004F0056"/>
    <w:rsid w:val="00503090"/>
    <w:rsid w:val="005108EE"/>
    <w:rsid w:val="005D48F5"/>
    <w:rsid w:val="005E3D75"/>
    <w:rsid w:val="006405FC"/>
    <w:rsid w:val="00681CAA"/>
    <w:rsid w:val="0069789B"/>
    <w:rsid w:val="006B4041"/>
    <w:rsid w:val="006D799F"/>
    <w:rsid w:val="0073715E"/>
    <w:rsid w:val="0076155C"/>
    <w:rsid w:val="00767626"/>
    <w:rsid w:val="008150C7"/>
    <w:rsid w:val="00865A0B"/>
    <w:rsid w:val="008A50A9"/>
    <w:rsid w:val="00972920"/>
    <w:rsid w:val="00AB7373"/>
    <w:rsid w:val="00AD098D"/>
    <w:rsid w:val="00B0111E"/>
    <w:rsid w:val="00B20115"/>
    <w:rsid w:val="00B729DE"/>
    <w:rsid w:val="00BC11CE"/>
    <w:rsid w:val="00C0623D"/>
    <w:rsid w:val="00C20EA8"/>
    <w:rsid w:val="00C47B43"/>
    <w:rsid w:val="00C61D53"/>
    <w:rsid w:val="00CC37D3"/>
    <w:rsid w:val="00D12CBB"/>
    <w:rsid w:val="00DE2D8A"/>
    <w:rsid w:val="00F03634"/>
    <w:rsid w:val="00F70563"/>
    <w:rsid w:val="00F874B9"/>
    <w:rsid w:val="00FC3DAA"/>
    <w:rsid w:val="00FC76B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2</cp:revision>
  <cp:lastPrinted>2025-01-08T16:11:00Z</cp:lastPrinted>
  <dcterms:created xsi:type="dcterms:W3CDTF">2025-01-15T14:11:00Z</dcterms:created>
  <dcterms:modified xsi:type="dcterms:W3CDTF">2025-01-15T14:11:00Z</dcterms:modified>
  <dc:language>pt-BR</dc:language>
</cp:coreProperties>
</file>